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1F5BE" w14:textId="06619AF1" w:rsidR="001B5B04" w:rsidRDefault="007403DC" w:rsidP="0038774D">
      <w:pPr>
        <w:jc w:val="center"/>
        <w:rPr>
          <w:b/>
          <w:sz w:val="32"/>
          <w:szCs w:val="32"/>
          <w:lang w:eastAsia="zh-HK"/>
        </w:rPr>
      </w:pPr>
      <w:bookmarkStart w:id="0" w:name="_GoBack"/>
      <w:r w:rsidRPr="007403DC">
        <w:rPr>
          <w:rFonts w:eastAsia="SimSun" w:hint="eastAsia"/>
          <w:b/>
          <w:sz w:val="32"/>
          <w:szCs w:val="32"/>
          <w:lang w:eastAsia="zh-CN"/>
        </w:rPr>
        <w:t>介绍片</w:t>
      </w:r>
      <w:r w:rsidRPr="007403DC">
        <w:rPr>
          <w:rFonts w:eastAsia="SimSun"/>
          <w:b/>
          <w:sz w:val="32"/>
          <w:szCs w:val="32"/>
          <w:lang w:eastAsia="zh-CN"/>
        </w:rPr>
        <w:t>(</w:t>
      </w:r>
      <w:r w:rsidRPr="007403DC">
        <w:rPr>
          <w:rFonts w:eastAsia="SimSun" w:hint="eastAsia"/>
          <w:b/>
          <w:sz w:val="32"/>
          <w:szCs w:val="32"/>
          <w:lang w:eastAsia="zh-CN"/>
        </w:rPr>
        <w:t>二</w:t>
      </w:r>
      <w:r w:rsidRPr="007403DC">
        <w:rPr>
          <w:rFonts w:eastAsia="SimSun"/>
          <w:b/>
          <w:sz w:val="32"/>
          <w:szCs w:val="32"/>
          <w:lang w:eastAsia="zh-CN"/>
        </w:rPr>
        <w:t>)</w:t>
      </w:r>
      <w:r w:rsidRPr="007403DC">
        <w:rPr>
          <w:rFonts w:eastAsia="SimSun" w:hint="eastAsia"/>
          <w:b/>
          <w:sz w:val="32"/>
          <w:szCs w:val="32"/>
          <w:lang w:eastAsia="zh-CN"/>
        </w:rPr>
        <w:t>：申请及使用</w:t>
      </w:r>
      <w:r w:rsidR="00881F3D">
        <w:rPr>
          <w:rFonts w:eastAsia="SimSun" w:hint="eastAsia"/>
          <w:b/>
          <w:sz w:val="32"/>
          <w:szCs w:val="32"/>
          <w:lang w:eastAsia="zh-CN"/>
        </w:rPr>
        <w:t>社区</w:t>
      </w:r>
      <w:r w:rsidRPr="007403DC">
        <w:rPr>
          <w:rFonts w:eastAsia="SimSun" w:hint="eastAsia"/>
          <w:b/>
          <w:sz w:val="32"/>
          <w:szCs w:val="32"/>
          <w:lang w:eastAsia="zh-CN"/>
        </w:rPr>
        <w:t>券</w:t>
      </w:r>
    </w:p>
    <w:bookmarkEnd w:id="0"/>
    <w:p w14:paraId="2DF980C3" w14:textId="77777777" w:rsidR="003C3771" w:rsidRPr="00C96287" w:rsidRDefault="003C3771">
      <w:pPr>
        <w:rPr>
          <w:lang w:eastAsia="zh-CN"/>
        </w:rPr>
      </w:pPr>
    </w:p>
    <w:tbl>
      <w:tblPr>
        <w:tblStyle w:val="a3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3A47F1" w:rsidRPr="00C96287" w14:paraId="24ACBE5C" w14:textId="4697D39D" w:rsidTr="003A47F1">
        <w:tc>
          <w:tcPr>
            <w:tcW w:w="8500" w:type="dxa"/>
          </w:tcPr>
          <w:p w14:paraId="65713DF6" w14:textId="57C1E2BF" w:rsidR="003A47F1" w:rsidRPr="003A47F1" w:rsidRDefault="007403DC" w:rsidP="00881F3D">
            <w:pPr>
              <w:pStyle w:val="a4"/>
              <w:numPr>
                <w:ilvl w:val="0"/>
                <w:numId w:val="13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  <w:lang w:eastAsia="zh-HK"/>
              </w:rPr>
            </w:pP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长者只要在社署资助长期护理服务中央轮候册轮候资助</w:t>
            </w:r>
            <w:r w:rsidR="00881F3D"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照顾服务及／或院舍照顾服务；而尚未接受任何院舍照顾服务或资助</w:t>
            </w:r>
            <w:r w:rsidR="00881F3D"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照顾服务，便合资格申请</w:t>
            </w:r>
            <w:r w:rsidR="00881F3D"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券。</w:t>
            </w:r>
          </w:p>
        </w:tc>
      </w:tr>
      <w:tr w:rsidR="003A47F1" w:rsidRPr="00C96287" w14:paraId="0896F222" w14:textId="4F2AE7D7" w:rsidTr="003A47F1">
        <w:tc>
          <w:tcPr>
            <w:tcW w:w="8500" w:type="dxa"/>
          </w:tcPr>
          <w:p w14:paraId="7B36DF88" w14:textId="4BA0D930" w:rsidR="003A47F1" w:rsidRPr="003A47F1" w:rsidRDefault="007403DC" w:rsidP="00881F3D">
            <w:pPr>
              <w:pStyle w:val="a4"/>
              <w:numPr>
                <w:ilvl w:val="0"/>
                <w:numId w:val="13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  <w:lang w:eastAsia="zh-HK"/>
              </w:rPr>
            </w:pP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社署会直接向合资格长者发信，邀请他们申请</w:t>
            </w:r>
            <w:r w:rsidR="00881F3D"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券。</w:t>
            </w:r>
            <w:r w:rsidRPr="007403DC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</w:tc>
      </w:tr>
      <w:tr w:rsidR="003A47F1" w:rsidRPr="00C96287" w14:paraId="19A7360A" w14:textId="5FDE4AE3" w:rsidTr="003A47F1">
        <w:tc>
          <w:tcPr>
            <w:tcW w:w="8500" w:type="dxa"/>
          </w:tcPr>
          <w:p w14:paraId="072D82CB" w14:textId="4DE44DCC" w:rsidR="003A47F1" w:rsidRPr="003A47F1" w:rsidRDefault="007403DC" w:rsidP="00881F3D">
            <w:pPr>
              <w:pStyle w:val="a4"/>
              <w:numPr>
                <w:ilvl w:val="0"/>
                <w:numId w:val="13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  <w:lang w:eastAsia="zh-HK"/>
              </w:rPr>
            </w:pP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有兴趣申请</w:t>
            </w:r>
            <w:r w:rsidR="00881F3D"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券的长者，可向</w:t>
            </w:r>
            <w:r w:rsidR="00881F3D"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券办事处递交申请表格。一般情况下，由审批至通知申请结果约需二至四星期。</w:t>
            </w:r>
          </w:p>
        </w:tc>
      </w:tr>
      <w:tr w:rsidR="003A47F1" w:rsidRPr="00C96287" w14:paraId="65D12D9B" w14:textId="5369E404" w:rsidTr="003A47F1">
        <w:tc>
          <w:tcPr>
            <w:tcW w:w="8500" w:type="dxa"/>
          </w:tcPr>
          <w:p w14:paraId="2CC9B48E" w14:textId="48E9BC38" w:rsidR="003A47F1" w:rsidRPr="00881F3D" w:rsidRDefault="007403DC" w:rsidP="00881F3D">
            <w:pPr>
              <w:pStyle w:val="a4"/>
              <w:numPr>
                <w:ilvl w:val="0"/>
                <w:numId w:val="13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  <w:lang w:eastAsia="zh-HK"/>
              </w:rPr>
            </w:pPr>
            <w:r w:rsidRPr="00881F3D">
              <w:rPr>
                <w:rFonts w:eastAsia="SimSun" w:hint="eastAsia"/>
                <w:sz w:val="26"/>
                <w:szCs w:val="26"/>
                <w:lang w:eastAsia="zh-CN"/>
              </w:rPr>
              <w:t>部分长者需要接受抽样家庭住户收入审查，</w:t>
            </w:r>
            <w:r w:rsidR="00881F3D" w:rsidRPr="00881F3D"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Pr="00881F3D">
              <w:rPr>
                <w:rFonts w:eastAsia="SimSun" w:hint="eastAsia"/>
                <w:sz w:val="26"/>
                <w:szCs w:val="26"/>
                <w:lang w:eastAsia="zh-CN"/>
              </w:rPr>
              <w:t>券办事处将发信通知他们。长者须提交相关的证明文件副本，</w:t>
            </w:r>
            <w:r w:rsidR="00881F3D" w:rsidRPr="00881F3D"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Pr="00881F3D">
              <w:rPr>
                <w:rFonts w:eastAsia="SimSun" w:hint="eastAsia"/>
                <w:sz w:val="26"/>
                <w:szCs w:val="26"/>
                <w:lang w:eastAsia="zh-CN"/>
              </w:rPr>
              <w:t>券办事处会在收妥所需文件后的十个工作天内通知审查结果。</w:t>
            </w:r>
          </w:p>
        </w:tc>
      </w:tr>
      <w:tr w:rsidR="003A47F1" w:rsidRPr="00C96287" w14:paraId="0FFC6876" w14:textId="151346B4" w:rsidTr="003A47F1">
        <w:tc>
          <w:tcPr>
            <w:tcW w:w="8500" w:type="dxa"/>
          </w:tcPr>
          <w:p w14:paraId="552D4E09" w14:textId="6E4A8114" w:rsidR="003A47F1" w:rsidRPr="00881F3D" w:rsidRDefault="00881F3D" w:rsidP="00881F3D">
            <w:pPr>
              <w:pStyle w:val="a4"/>
              <w:numPr>
                <w:ilvl w:val="0"/>
                <w:numId w:val="13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  <w:lang w:eastAsia="zh-HK"/>
              </w:rPr>
            </w:pPr>
            <w:r w:rsidRPr="00881F3D"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="007403DC" w:rsidRPr="00881F3D">
              <w:rPr>
                <w:rFonts w:eastAsia="SimSun" w:hint="eastAsia"/>
                <w:sz w:val="26"/>
                <w:szCs w:val="26"/>
                <w:lang w:eastAsia="zh-CN"/>
              </w:rPr>
              <w:t>券会显示</w:t>
            </w:r>
            <w:r w:rsidRPr="00881F3D"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="007403DC" w:rsidRPr="00881F3D">
              <w:rPr>
                <w:rFonts w:eastAsia="SimSun" w:hint="eastAsia"/>
                <w:sz w:val="26"/>
                <w:szCs w:val="26"/>
                <w:lang w:eastAsia="zh-CN"/>
              </w:rPr>
              <w:t>券编号及共同付款级别。长者在获发</w:t>
            </w:r>
            <w:r w:rsidRPr="00881F3D"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="007403DC" w:rsidRPr="00881F3D">
              <w:rPr>
                <w:rFonts w:eastAsia="SimSun" w:hint="eastAsia"/>
                <w:sz w:val="26"/>
                <w:szCs w:val="26"/>
                <w:lang w:eastAsia="zh-CN"/>
              </w:rPr>
              <w:t>券后，便可直接联络认可服务单位，购买合适的服务。</w:t>
            </w:r>
          </w:p>
        </w:tc>
      </w:tr>
      <w:tr w:rsidR="003A47F1" w:rsidRPr="00C96287" w14:paraId="4F0DFB83" w14:textId="632C87DF" w:rsidTr="003A47F1">
        <w:tc>
          <w:tcPr>
            <w:tcW w:w="8500" w:type="dxa"/>
          </w:tcPr>
          <w:p w14:paraId="24E9EB41" w14:textId="2F5E297C" w:rsidR="003A47F1" w:rsidRPr="00881F3D" w:rsidRDefault="007403DC" w:rsidP="00881F3D">
            <w:pPr>
              <w:pStyle w:val="a4"/>
              <w:numPr>
                <w:ilvl w:val="0"/>
                <w:numId w:val="13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  <w:lang w:eastAsia="zh-HK"/>
              </w:rPr>
            </w:pPr>
            <w:r w:rsidRPr="00881F3D">
              <w:rPr>
                <w:rFonts w:eastAsia="SimSun" w:hint="eastAsia"/>
                <w:sz w:val="26"/>
                <w:szCs w:val="26"/>
                <w:lang w:eastAsia="zh-CN"/>
              </w:rPr>
              <w:t>长者可</w:t>
            </w:r>
            <w:r w:rsidRPr="00881F3D">
              <w:rPr>
                <w:rFonts w:ascii="新細明體" w:eastAsia="SimSun" w:hAnsi="新細明體" w:cs="新細明體" w:hint="eastAsia"/>
                <w:sz w:val="26"/>
                <w:szCs w:val="26"/>
                <w:lang w:eastAsia="zh-CN"/>
              </w:rPr>
              <w:t>浏览</w:t>
            </w:r>
            <w:r w:rsidRPr="00881F3D">
              <w:rPr>
                <w:rFonts w:eastAsia="SimSun" w:hint="eastAsia"/>
                <w:sz w:val="26"/>
                <w:szCs w:val="26"/>
                <w:lang w:eastAsia="zh-CN"/>
              </w:rPr>
              <w:t>社署</w:t>
            </w:r>
            <w:r w:rsidRPr="00881F3D">
              <w:rPr>
                <w:rFonts w:ascii="新細明體" w:eastAsia="SimSun" w:hAnsi="新細明體" w:cs="新細明體" w:hint="eastAsia"/>
                <w:sz w:val="26"/>
                <w:szCs w:val="26"/>
                <w:lang w:eastAsia="zh-CN"/>
              </w:rPr>
              <w:t>网页</w:t>
            </w:r>
            <w:r w:rsidRPr="00881F3D">
              <w:rPr>
                <w:rFonts w:eastAsia="SimSun" w:hint="eastAsia"/>
                <w:sz w:val="26"/>
                <w:szCs w:val="26"/>
                <w:lang w:eastAsia="zh-CN"/>
              </w:rPr>
              <w:t>及社署</w:t>
            </w:r>
            <w:r w:rsidR="00881F3D" w:rsidRPr="00881F3D">
              <w:rPr>
                <w:rFonts w:eastAsia="SimSun" w:hint="eastAsia"/>
                <w:sz w:val="26"/>
                <w:szCs w:val="26"/>
                <w:lang w:eastAsia="zh-CN"/>
              </w:rPr>
              <w:t>长者</w:t>
            </w:r>
            <w:r w:rsidR="00881F3D" w:rsidRPr="00881F3D">
              <w:rPr>
                <w:rFonts w:asciiTheme="minorEastAsia" w:hAnsiTheme="minorEastAsia" w:hint="eastAsia"/>
                <w:sz w:val="26"/>
                <w:szCs w:val="26"/>
                <w:lang w:eastAsia="zh-HK"/>
              </w:rPr>
              <w:t>资</w:t>
            </w:r>
            <w:r w:rsidR="00881F3D" w:rsidRPr="00881F3D">
              <w:rPr>
                <w:rFonts w:asciiTheme="minorEastAsia" w:eastAsia="SimSun" w:hAnsiTheme="minorEastAsia" w:hint="eastAsia"/>
                <w:sz w:val="26"/>
                <w:szCs w:val="26"/>
                <w:lang w:eastAsia="zh-CN"/>
              </w:rPr>
              <w:t>讯</w:t>
            </w:r>
            <w:r w:rsidR="00881F3D" w:rsidRPr="00881F3D">
              <w:rPr>
                <w:rFonts w:eastAsia="SimSun" w:hint="eastAsia"/>
                <w:sz w:val="26"/>
                <w:szCs w:val="26"/>
                <w:lang w:eastAsia="zh-CN"/>
              </w:rPr>
              <w:t>网</w:t>
            </w:r>
            <w:r w:rsidRPr="00881F3D">
              <w:rPr>
                <w:rFonts w:eastAsia="SimSun" w:hint="eastAsia"/>
                <w:sz w:val="26"/>
                <w:szCs w:val="26"/>
                <w:lang w:eastAsia="zh-CN"/>
              </w:rPr>
              <w:t>，搜寻合适的认可服务单位。</w:t>
            </w:r>
          </w:p>
        </w:tc>
      </w:tr>
      <w:tr w:rsidR="003A47F1" w:rsidRPr="00C96287" w14:paraId="503C5750" w14:textId="1017DA70" w:rsidTr="003A47F1">
        <w:tc>
          <w:tcPr>
            <w:tcW w:w="8500" w:type="dxa"/>
          </w:tcPr>
          <w:p w14:paraId="245487D7" w14:textId="50DDFD68" w:rsidR="003A47F1" w:rsidRPr="00881F3D" w:rsidRDefault="007403DC" w:rsidP="00881F3D">
            <w:pPr>
              <w:pStyle w:val="a4"/>
              <w:numPr>
                <w:ilvl w:val="0"/>
                <w:numId w:val="13"/>
              </w:numPr>
              <w:spacing w:afterLines="50" w:after="180"/>
              <w:ind w:leftChars="0" w:left="482" w:hanging="482"/>
              <w:jc w:val="both"/>
              <w:rPr>
                <w:rFonts w:ascii="Times New Roman" w:eastAsia="新細明體" w:hAnsi="Times New Roman" w:cs="Times New Roman"/>
                <w:sz w:val="26"/>
                <w:szCs w:val="26"/>
                <w:lang w:eastAsia="zh-HK"/>
              </w:rPr>
            </w:pPr>
            <w:r w:rsidRPr="00881F3D">
              <w:rPr>
                <w:rFonts w:ascii="新細明體" w:eastAsia="SimSun" w:hAnsi="新細明體" w:cs="新細明體" w:hint="eastAsia"/>
                <w:sz w:val="26"/>
                <w:szCs w:val="26"/>
                <w:lang w:eastAsia="zh-CN"/>
              </w:rPr>
              <w:t>在</w:t>
            </w:r>
            <w:r w:rsidRPr="00881F3D">
              <w:rPr>
                <w:rFonts w:eastAsia="SimSun" w:hint="eastAsia"/>
                <w:sz w:val="26"/>
                <w:szCs w:val="26"/>
                <w:lang w:eastAsia="zh-CN"/>
              </w:rPr>
              <w:t>社署</w:t>
            </w:r>
            <w:r w:rsidRPr="00881F3D">
              <w:rPr>
                <w:rFonts w:ascii="新細明體" w:eastAsia="SimSun" w:hAnsi="新細明體" w:cs="新細明體" w:hint="eastAsia"/>
                <w:sz w:val="26"/>
                <w:szCs w:val="26"/>
                <w:lang w:eastAsia="zh-CN"/>
              </w:rPr>
              <w:t>网页，有全港</w:t>
            </w:r>
            <w:r w:rsidRPr="00881F3D">
              <w:rPr>
                <w:rFonts w:ascii="新細明體" w:eastAsia="SimSun" w:hAnsi="新細明體" w:cs="新細明體"/>
                <w:sz w:val="26"/>
                <w:szCs w:val="26"/>
                <w:lang w:eastAsia="zh-CN"/>
              </w:rPr>
              <w:t>18</w:t>
            </w:r>
            <w:r w:rsidRPr="00881F3D">
              <w:rPr>
                <w:rFonts w:ascii="新細明體" w:eastAsia="SimSun" w:hAnsi="新細明體" w:cs="新細明體" w:hint="eastAsia"/>
                <w:sz w:val="26"/>
                <w:szCs w:val="26"/>
                <w:lang w:eastAsia="zh-CN"/>
              </w:rPr>
              <w:t>区的认可服务单位数据可供下载。</w:t>
            </w:r>
          </w:p>
        </w:tc>
      </w:tr>
      <w:tr w:rsidR="003A47F1" w:rsidRPr="00C96287" w14:paraId="1BD89761" w14:textId="630A0555" w:rsidTr="003A47F1">
        <w:tc>
          <w:tcPr>
            <w:tcW w:w="8500" w:type="dxa"/>
          </w:tcPr>
          <w:p w14:paraId="0FF97FEC" w14:textId="73D3DBAD" w:rsidR="003A47F1" w:rsidRPr="00881F3D" w:rsidRDefault="007403DC" w:rsidP="00881F3D">
            <w:pPr>
              <w:pStyle w:val="a4"/>
              <w:numPr>
                <w:ilvl w:val="0"/>
                <w:numId w:val="13"/>
              </w:numPr>
              <w:spacing w:afterLines="50" w:after="180"/>
              <w:ind w:leftChars="0" w:left="482" w:hanging="482"/>
              <w:jc w:val="both"/>
              <w:rPr>
                <w:rFonts w:ascii="新細明體" w:eastAsia="新細明體" w:hAnsi="新細明體" w:cs="新細明體"/>
                <w:sz w:val="26"/>
                <w:szCs w:val="26"/>
                <w:lang w:eastAsia="zh-HK"/>
              </w:rPr>
            </w:pPr>
            <w:r w:rsidRPr="00881F3D">
              <w:rPr>
                <w:rFonts w:ascii="新細明體" w:eastAsia="SimSun" w:hAnsi="新細明體" w:cs="新細明體" w:hint="eastAsia"/>
                <w:sz w:val="26"/>
                <w:szCs w:val="26"/>
                <w:lang w:eastAsia="zh-CN"/>
              </w:rPr>
              <w:t>而在</w:t>
            </w:r>
            <w:r w:rsidRPr="00881F3D">
              <w:rPr>
                <w:rFonts w:eastAsia="SimSun" w:hint="eastAsia"/>
                <w:sz w:val="26"/>
                <w:szCs w:val="26"/>
                <w:lang w:eastAsia="zh-CN"/>
              </w:rPr>
              <w:t>社署长者</w:t>
            </w:r>
            <w:r w:rsidR="00881F3D" w:rsidRPr="00881F3D">
              <w:rPr>
                <w:rFonts w:asciiTheme="minorEastAsia" w:hAnsiTheme="minorEastAsia" w:hint="eastAsia"/>
                <w:sz w:val="26"/>
                <w:szCs w:val="26"/>
                <w:lang w:eastAsia="zh-HK"/>
              </w:rPr>
              <w:t>资</w:t>
            </w:r>
            <w:r w:rsidR="00881F3D" w:rsidRPr="00881F3D">
              <w:rPr>
                <w:rFonts w:asciiTheme="minorEastAsia" w:eastAsia="SimSun" w:hAnsiTheme="minorEastAsia" w:hint="eastAsia"/>
                <w:sz w:val="26"/>
                <w:szCs w:val="26"/>
                <w:lang w:eastAsia="zh-CN"/>
              </w:rPr>
              <w:t>讯</w:t>
            </w:r>
            <w:r w:rsidRPr="00881F3D">
              <w:rPr>
                <w:rFonts w:eastAsia="SimSun" w:hint="eastAsia"/>
                <w:sz w:val="26"/>
                <w:szCs w:val="26"/>
                <w:lang w:eastAsia="zh-CN"/>
              </w:rPr>
              <w:t>网，在</w:t>
            </w:r>
            <w:r w:rsidRPr="00881F3D">
              <w:rPr>
                <w:rFonts w:ascii="新細明體" w:eastAsia="SimSun" w:hAnsi="新細明體" w:cs="新細明體" w:hint="eastAsia"/>
                <w:sz w:val="26"/>
                <w:szCs w:val="26"/>
                <w:lang w:eastAsia="zh-CN"/>
              </w:rPr>
              <w:t>服务搜寻器剔选选项后，便会初步筛选出符合你的要求的认可服务单位。再进入各认可服务单位的版面，便可查看</w:t>
            </w:r>
            <w:r w:rsidRPr="00881F3D">
              <w:rPr>
                <w:rFonts w:eastAsia="SimSun" w:hint="eastAsia"/>
                <w:sz w:val="26"/>
                <w:szCs w:val="26"/>
                <w:lang w:eastAsia="zh-CN"/>
              </w:rPr>
              <w:t>更详细的资料</w:t>
            </w:r>
            <w:r w:rsidRPr="00881F3D">
              <w:rPr>
                <w:rFonts w:ascii="新細明體" w:eastAsia="SimSun" w:hAnsi="新細明體" w:cs="新細明體" w:hint="eastAsia"/>
                <w:sz w:val="26"/>
                <w:szCs w:val="26"/>
                <w:lang w:eastAsia="zh-CN"/>
              </w:rPr>
              <w:t>。</w:t>
            </w:r>
          </w:p>
        </w:tc>
      </w:tr>
      <w:tr w:rsidR="003A47F1" w:rsidRPr="00C96287" w14:paraId="0D2B6D7C" w14:textId="32EDD19B" w:rsidTr="00881F3D">
        <w:trPr>
          <w:trHeight w:val="934"/>
        </w:trPr>
        <w:tc>
          <w:tcPr>
            <w:tcW w:w="8500" w:type="dxa"/>
          </w:tcPr>
          <w:p w14:paraId="70C1D9B9" w14:textId="492657C9" w:rsidR="003A47F1" w:rsidRPr="003A47F1" w:rsidRDefault="007403DC" w:rsidP="00881F3D">
            <w:pPr>
              <w:pStyle w:val="a4"/>
              <w:numPr>
                <w:ilvl w:val="0"/>
                <w:numId w:val="13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  <w:lang w:eastAsia="zh-HK"/>
              </w:rPr>
            </w:pPr>
            <w:r w:rsidRPr="007403DC">
              <w:rPr>
                <w:rFonts w:ascii="新細明體" w:eastAsia="SimSun" w:hAnsi="新細明體" w:cs="新細明體" w:hint="eastAsia"/>
                <w:sz w:val="26"/>
                <w:szCs w:val="26"/>
                <w:lang w:eastAsia="zh-CN"/>
              </w:rPr>
              <w:t>各认可服务单位提供的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服务模式</w:t>
            </w:r>
            <w:r w:rsidRPr="007403DC">
              <w:rPr>
                <w:rFonts w:ascii="新細明體" w:eastAsia="SimSun" w:hAnsi="新細明體" w:cs="新細明體" w:hint="eastAsia"/>
                <w:sz w:val="26"/>
                <w:szCs w:val="26"/>
                <w:lang w:eastAsia="zh-CN"/>
              </w:rPr>
              <w:t>、服务项目、服务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价格会有不同，所以应多作比较才作出选择。</w:t>
            </w:r>
          </w:p>
        </w:tc>
      </w:tr>
      <w:tr w:rsidR="003A47F1" w:rsidRPr="00C96287" w14:paraId="1DDCB1FC" w14:textId="4F31F73D" w:rsidTr="003A47F1">
        <w:trPr>
          <w:trHeight w:val="343"/>
        </w:trPr>
        <w:tc>
          <w:tcPr>
            <w:tcW w:w="8500" w:type="dxa"/>
          </w:tcPr>
          <w:p w14:paraId="52CB4E58" w14:textId="38A3CE30" w:rsidR="003A47F1" w:rsidRPr="003A47F1" w:rsidRDefault="007403DC" w:rsidP="00881F3D">
            <w:pPr>
              <w:pStyle w:val="a4"/>
              <w:numPr>
                <w:ilvl w:val="0"/>
                <w:numId w:val="13"/>
              </w:numPr>
              <w:spacing w:afterLines="50" w:after="180"/>
              <w:ind w:leftChars="0" w:left="482" w:hanging="482"/>
              <w:jc w:val="both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7403DC">
              <w:rPr>
                <w:rFonts w:ascii="Times New Roman" w:eastAsia="SimSun" w:hAnsi="Times New Roman" w:cs="Times New Roman" w:hint="eastAsia"/>
                <w:sz w:val="26"/>
                <w:szCs w:val="26"/>
                <w:lang w:eastAsia="zh-CN"/>
              </w:rPr>
              <w:t>另外，要留意认可服务单位在以下情况的服务安排及相关的服务条款，包括公众假期、热带气旋及暴雨警告信号、更改服务时间或暂停服务等。</w:t>
            </w:r>
          </w:p>
        </w:tc>
      </w:tr>
      <w:tr w:rsidR="003A47F1" w:rsidRPr="00C96287" w14:paraId="58F59CEF" w14:textId="0FB8CDA9" w:rsidTr="003A47F1">
        <w:trPr>
          <w:trHeight w:val="670"/>
        </w:trPr>
        <w:tc>
          <w:tcPr>
            <w:tcW w:w="8500" w:type="dxa"/>
          </w:tcPr>
          <w:p w14:paraId="6C81EF02" w14:textId="493043CB" w:rsidR="003A47F1" w:rsidRPr="003A47F1" w:rsidRDefault="007403DC" w:rsidP="00881F3D">
            <w:pPr>
              <w:pStyle w:val="a4"/>
              <w:numPr>
                <w:ilvl w:val="0"/>
                <w:numId w:val="13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  <w:lang w:eastAsia="zh-HK"/>
              </w:rPr>
            </w:pP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在签订服务协议前，应检视所拣选的服务组合是否切合你的需要。在一般情况下，认可服务单位不会退还已收取的共同付款金额。</w:t>
            </w:r>
          </w:p>
        </w:tc>
      </w:tr>
      <w:tr w:rsidR="003A47F1" w:rsidRPr="00C96287" w14:paraId="0999BDC1" w14:textId="561DEDA6" w:rsidTr="003A47F1">
        <w:trPr>
          <w:trHeight w:val="1335"/>
        </w:trPr>
        <w:tc>
          <w:tcPr>
            <w:tcW w:w="8500" w:type="dxa"/>
          </w:tcPr>
          <w:p w14:paraId="47021EB2" w14:textId="169A0A25" w:rsidR="003A47F1" w:rsidRPr="003A47F1" w:rsidRDefault="007403DC" w:rsidP="00881F3D">
            <w:pPr>
              <w:pStyle w:val="a4"/>
              <w:numPr>
                <w:ilvl w:val="0"/>
                <w:numId w:val="13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  <w:lang w:eastAsia="zh-HK"/>
              </w:rPr>
            </w:pP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只有在</w:t>
            </w:r>
            <w:r w:rsidR="00881F3D">
              <w:rPr>
                <w:rFonts w:ascii="新細明體" w:eastAsia="SimSun" w:hAnsi="新細明體" w:cs="新細明體" w:hint="eastAsia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ascii="新細明體" w:eastAsia="SimSun" w:hAnsi="新細明體" w:cs="新細明體" w:hint="eastAsia"/>
                <w:sz w:val="26"/>
                <w:szCs w:val="26"/>
                <w:lang w:eastAsia="zh-CN"/>
              </w:rPr>
              <w:t>券计划下的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认可服务</w:t>
            </w:r>
            <w:r w:rsidRPr="007403DC">
              <w:rPr>
                <w:rFonts w:ascii="新細明體" w:eastAsia="SimSun" w:hAnsi="新細明體" w:cs="新細明體" w:hint="eastAsia"/>
                <w:sz w:val="26"/>
                <w:szCs w:val="26"/>
                <w:lang w:eastAsia="zh-CN"/>
              </w:rPr>
              <w:t>项目及在</w:t>
            </w:r>
            <w:r w:rsidR="00881F3D">
              <w:rPr>
                <w:rFonts w:ascii="新細明體" w:eastAsia="SimSun" w:hAnsi="新細明體" w:cs="新細明體" w:hint="eastAsia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ascii="新細明體" w:eastAsia="SimSun" w:hAnsi="新細明體" w:cs="新細明體" w:hint="eastAsia"/>
                <w:sz w:val="26"/>
                <w:szCs w:val="26"/>
                <w:lang w:eastAsia="zh-CN"/>
              </w:rPr>
              <w:t>券价值内的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服务</w:t>
            </w:r>
            <w:r w:rsidRPr="007403DC">
              <w:rPr>
                <w:rFonts w:ascii="新細明體" w:eastAsia="SimSun" w:hAnsi="新細明體" w:cs="新細明體" w:hint="eastAsia"/>
                <w:sz w:val="26"/>
                <w:szCs w:val="26"/>
                <w:lang w:eastAsia="zh-CN"/>
              </w:rPr>
              <w:t>才获政府资助。所以若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认可服务单位向你建议购买额外服务和产品，又或服务组合超出</w:t>
            </w:r>
            <w:r w:rsidR="00881F3D">
              <w:rPr>
                <w:rFonts w:ascii="新細明體" w:eastAsia="SimSun" w:hAnsi="新細明體" w:cs="新細明體" w:hint="eastAsia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ascii="新細明體" w:eastAsia="SimSun" w:hAnsi="新細明體" w:cs="新細明體" w:hint="eastAsia"/>
                <w:sz w:val="26"/>
                <w:szCs w:val="26"/>
                <w:lang w:eastAsia="zh-CN"/>
              </w:rPr>
              <w:t>券最高面值，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在购买前应考虑是否真正需要服务及能否负担费用。</w:t>
            </w:r>
          </w:p>
        </w:tc>
      </w:tr>
      <w:tr w:rsidR="003A47F1" w:rsidRPr="00C96287" w14:paraId="0017B895" w14:textId="1241E939" w:rsidTr="003A47F1">
        <w:trPr>
          <w:trHeight w:val="77"/>
        </w:trPr>
        <w:tc>
          <w:tcPr>
            <w:tcW w:w="8500" w:type="dxa"/>
          </w:tcPr>
          <w:p w14:paraId="2919051F" w14:textId="2D94E0AC" w:rsidR="003A47F1" w:rsidRPr="003A47F1" w:rsidRDefault="007403DC" w:rsidP="00881F3D">
            <w:pPr>
              <w:pStyle w:val="a4"/>
              <w:numPr>
                <w:ilvl w:val="0"/>
                <w:numId w:val="13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  <w:lang w:eastAsia="zh-HK"/>
              </w:rPr>
            </w:pP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长者在获发</w:t>
            </w:r>
            <w:r w:rsidR="00881F3D"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券后，他在中央轮候册上长期护理服务的申请会更新为「非活跃个案」。当长者需要长期护理服务时，可透过负责工作员将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lastRenderedPageBreak/>
              <w:t>其轮候状态回复为「活跃个案」，而其轮候位置亦会以原本的申请日期为准。因此使用</w:t>
            </w:r>
            <w:r w:rsidR="00881F3D"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券并不会影响长者在申请长期护理服务上的轮候位置。</w:t>
            </w:r>
          </w:p>
        </w:tc>
      </w:tr>
      <w:tr w:rsidR="003A47F1" w:rsidRPr="00C96287" w14:paraId="63D41BD0" w14:textId="2C832C52" w:rsidTr="003A47F1">
        <w:trPr>
          <w:trHeight w:val="77"/>
        </w:trPr>
        <w:tc>
          <w:tcPr>
            <w:tcW w:w="8500" w:type="dxa"/>
          </w:tcPr>
          <w:p w14:paraId="6C629B00" w14:textId="0303716C" w:rsidR="003A47F1" w:rsidRPr="003A47F1" w:rsidRDefault="007403DC" w:rsidP="00881F3D">
            <w:pPr>
              <w:pStyle w:val="a4"/>
              <w:numPr>
                <w:ilvl w:val="0"/>
                <w:numId w:val="13"/>
              </w:numPr>
              <w:spacing w:afterLines="50" w:after="180"/>
              <w:ind w:leftChars="0" w:left="482" w:hanging="482"/>
              <w:jc w:val="both"/>
              <w:rPr>
                <w:sz w:val="26"/>
                <w:szCs w:val="26"/>
                <w:lang w:eastAsia="zh-CN"/>
              </w:rPr>
            </w:pP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lastRenderedPageBreak/>
              <w:t>若</w:t>
            </w:r>
            <w:r w:rsidRPr="007403DC">
              <w:rPr>
                <w:rFonts w:eastAsia="SimSun" w:hint="eastAsia"/>
                <w:color w:val="000000" w:themeColor="text1"/>
                <w:sz w:val="26"/>
                <w:szCs w:val="26"/>
                <w:lang w:eastAsia="zh-CN"/>
              </w:rPr>
              <w:t>长者的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家庭人数及经济状况有变，须尽早向</w:t>
            </w:r>
            <w:r w:rsidR="00881F3D">
              <w:rPr>
                <w:rFonts w:ascii="新細明體" w:eastAsia="SimSun" w:hAnsi="新細明體" w:cs="新細明體" w:hint="eastAsia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ascii="新細明體" w:eastAsia="SimSun" w:hAnsi="新細明體" w:cs="新細明體" w:hint="eastAsia"/>
                <w:sz w:val="26"/>
                <w:szCs w:val="26"/>
                <w:lang w:eastAsia="zh-CN"/>
              </w:rPr>
              <w:t>券办事处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提交更改共同付款级别申请。</w:t>
            </w:r>
            <w:r w:rsidRPr="007403DC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</w:p>
        </w:tc>
      </w:tr>
      <w:tr w:rsidR="003A47F1" w:rsidRPr="00C96287" w14:paraId="5B574E8C" w14:textId="16D01A77" w:rsidTr="003A47F1">
        <w:trPr>
          <w:trHeight w:val="297"/>
        </w:trPr>
        <w:tc>
          <w:tcPr>
            <w:tcW w:w="8500" w:type="dxa"/>
          </w:tcPr>
          <w:p w14:paraId="3D24E234" w14:textId="234180B9" w:rsidR="003A47F1" w:rsidRPr="003A47F1" w:rsidRDefault="007403DC" w:rsidP="00881F3D">
            <w:pPr>
              <w:pStyle w:val="a4"/>
              <w:numPr>
                <w:ilvl w:val="0"/>
                <w:numId w:val="13"/>
              </w:numPr>
              <w:spacing w:afterLines="50" w:after="180"/>
              <w:ind w:leftChars="0" w:left="482" w:hanging="482"/>
              <w:jc w:val="both"/>
              <w:rPr>
                <w:color w:val="000000" w:themeColor="text1"/>
                <w:sz w:val="26"/>
                <w:szCs w:val="26"/>
                <w:lang w:eastAsia="zh-HK"/>
              </w:rPr>
            </w:pPr>
            <w:r w:rsidRPr="007403DC">
              <w:rPr>
                <w:rFonts w:eastAsia="SimSun" w:hint="eastAsia"/>
                <w:color w:val="000000" w:themeColor="text1"/>
                <w:sz w:val="26"/>
                <w:szCs w:val="26"/>
                <w:lang w:eastAsia="zh-CN"/>
              </w:rPr>
              <w:t>如长者本月已向一间认可服务单位购买</w:t>
            </w:r>
            <w:r w:rsidR="00881F3D">
              <w:rPr>
                <w:rFonts w:ascii="新細明體" w:eastAsia="SimSun" w:hAnsi="新細明體" w:cs="新細明體" w:hint="eastAsia"/>
                <w:color w:val="000000" w:themeColor="text1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ascii="新細明體" w:eastAsia="SimSun" w:hAnsi="新細明體" w:cs="新細明體" w:hint="eastAsia"/>
                <w:color w:val="000000" w:themeColor="text1"/>
                <w:sz w:val="26"/>
                <w:szCs w:val="26"/>
                <w:lang w:eastAsia="zh-CN"/>
              </w:rPr>
              <w:t>券</w:t>
            </w:r>
            <w:r w:rsidRPr="007403DC">
              <w:rPr>
                <w:rFonts w:eastAsia="SimSun" w:hint="eastAsia"/>
                <w:color w:val="000000" w:themeColor="text1"/>
                <w:sz w:val="26"/>
                <w:szCs w:val="26"/>
                <w:lang w:eastAsia="zh-CN"/>
              </w:rPr>
              <w:t>服务，但打算转换认可服务单位，长者最快可在下一个月才能向新认可服务单位购买</w:t>
            </w:r>
            <w:r w:rsidR="00881F3D">
              <w:rPr>
                <w:rFonts w:ascii="新細明體" w:eastAsia="SimSun" w:hAnsi="新細明體" w:cs="新細明體" w:hint="eastAsia"/>
                <w:color w:val="000000" w:themeColor="text1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ascii="新細明體" w:eastAsia="SimSun" w:hAnsi="新細明體" w:cs="新細明體" w:hint="eastAsia"/>
                <w:color w:val="000000" w:themeColor="text1"/>
                <w:sz w:val="26"/>
                <w:szCs w:val="26"/>
                <w:lang w:eastAsia="zh-CN"/>
              </w:rPr>
              <w:t>券</w:t>
            </w:r>
            <w:r w:rsidRPr="007403DC">
              <w:rPr>
                <w:rFonts w:eastAsia="SimSun" w:hint="eastAsia"/>
                <w:color w:val="000000" w:themeColor="text1"/>
                <w:sz w:val="26"/>
                <w:szCs w:val="26"/>
                <w:lang w:eastAsia="zh-CN"/>
              </w:rPr>
              <w:t>服务。</w:t>
            </w:r>
          </w:p>
        </w:tc>
      </w:tr>
      <w:tr w:rsidR="003A47F1" w:rsidRPr="00C96287" w14:paraId="04C01539" w14:textId="5AB3B6BC" w:rsidTr="003A47F1">
        <w:trPr>
          <w:trHeight w:val="132"/>
        </w:trPr>
        <w:tc>
          <w:tcPr>
            <w:tcW w:w="8500" w:type="dxa"/>
          </w:tcPr>
          <w:p w14:paraId="3D01E59D" w14:textId="19FF393D" w:rsidR="003A47F1" w:rsidRPr="003A47F1" w:rsidRDefault="007403DC" w:rsidP="00881F3D">
            <w:pPr>
              <w:pStyle w:val="a4"/>
              <w:numPr>
                <w:ilvl w:val="0"/>
                <w:numId w:val="13"/>
              </w:numPr>
              <w:spacing w:afterLines="50" w:after="180"/>
              <w:ind w:leftChars="0" w:left="482" w:hanging="48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7403DC">
              <w:rPr>
                <w:rFonts w:ascii="Times New Roman" w:eastAsia="SimSun" w:hAnsi="Times New Roman" w:cs="Times New Roman" w:hint="eastAsia"/>
                <w:color w:val="000000" w:themeColor="text1"/>
                <w:sz w:val="26"/>
                <w:szCs w:val="26"/>
                <w:lang w:eastAsia="zh-CN"/>
              </w:rPr>
              <w:t>如长者暂停使用认可服务单位的服务超过一个月，他须离开服务单位。若日后想再次使用该认可服务单位的服务，便需重新提出申请。</w:t>
            </w:r>
          </w:p>
        </w:tc>
      </w:tr>
      <w:tr w:rsidR="003A47F1" w:rsidRPr="00C96287" w14:paraId="706D3C83" w14:textId="34A3C02D" w:rsidTr="003A47F1">
        <w:trPr>
          <w:trHeight w:val="77"/>
        </w:trPr>
        <w:tc>
          <w:tcPr>
            <w:tcW w:w="8500" w:type="dxa"/>
          </w:tcPr>
          <w:p w14:paraId="77CCFF98" w14:textId="529AC144" w:rsidR="003A47F1" w:rsidRPr="003A47F1" w:rsidRDefault="007403DC" w:rsidP="00881F3D">
            <w:pPr>
              <w:pStyle w:val="a4"/>
              <w:numPr>
                <w:ilvl w:val="0"/>
                <w:numId w:val="13"/>
              </w:numPr>
              <w:spacing w:afterLines="50" w:after="180"/>
              <w:ind w:leftChars="0" w:left="482" w:hanging="482"/>
              <w:jc w:val="both"/>
              <w:rPr>
                <w:color w:val="000000" w:themeColor="text1"/>
                <w:sz w:val="26"/>
                <w:szCs w:val="26"/>
                <w:lang w:eastAsia="zh-HK"/>
              </w:rPr>
            </w:pPr>
            <w:r w:rsidRPr="007403DC">
              <w:rPr>
                <w:rFonts w:eastAsia="SimSun" w:hint="eastAsia"/>
                <w:color w:val="000000" w:themeColor="text1"/>
                <w:sz w:val="26"/>
                <w:szCs w:val="26"/>
                <w:lang w:eastAsia="zh-CN"/>
              </w:rPr>
              <w:t>如长者不需要</w:t>
            </w:r>
            <w:r w:rsidR="00881F3D">
              <w:rPr>
                <w:rFonts w:eastAsia="SimSun" w:hint="eastAsia"/>
                <w:color w:val="000000" w:themeColor="text1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eastAsia="SimSun" w:hint="eastAsia"/>
                <w:color w:val="000000" w:themeColor="text1"/>
                <w:sz w:val="26"/>
                <w:szCs w:val="26"/>
                <w:lang w:eastAsia="zh-CN"/>
              </w:rPr>
              <w:t>券服务，可通知</w:t>
            </w:r>
            <w:r w:rsidR="00881F3D">
              <w:rPr>
                <w:rFonts w:ascii="新細明體" w:eastAsia="SimSun" w:hAnsi="新細明體" w:cs="新細明體" w:hint="eastAsia"/>
                <w:color w:val="000000" w:themeColor="text1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ascii="新細明體" w:eastAsia="SimSun" w:hAnsi="新細明體" w:cs="新細明體" w:hint="eastAsia"/>
                <w:color w:val="000000" w:themeColor="text1"/>
                <w:sz w:val="26"/>
                <w:szCs w:val="26"/>
                <w:lang w:eastAsia="zh-CN"/>
              </w:rPr>
              <w:t>券办事处</w:t>
            </w:r>
            <w:r w:rsidRPr="007403DC">
              <w:rPr>
                <w:rFonts w:eastAsia="SimSun" w:hint="eastAsia"/>
                <w:color w:val="000000" w:themeColor="text1"/>
                <w:sz w:val="26"/>
                <w:szCs w:val="26"/>
                <w:lang w:eastAsia="zh-CN"/>
              </w:rPr>
              <w:t>退出计划。</w:t>
            </w:r>
          </w:p>
        </w:tc>
      </w:tr>
      <w:tr w:rsidR="003A47F1" w:rsidRPr="00112BE8" w14:paraId="2353CF97" w14:textId="21D4EC5B" w:rsidTr="003A47F1">
        <w:tc>
          <w:tcPr>
            <w:tcW w:w="8500" w:type="dxa"/>
          </w:tcPr>
          <w:p w14:paraId="172F965C" w14:textId="6048F827" w:rsidR="003A47F1" w:rsidRPr="003A47F1" w:rsidRDefault="007403DC" w:rsidP="00881F3D">
            <w:pPr>
              <w:pStyle w:val="a4"/>
              <w:numPr>
                <w:ilvl w:val="0"/>
                <w:numId w:val="13"/>
              </w:numPr>
              <w:spacing w:afterLines="50" w:after="180"/>
              <w:ind w:leftChars="0" w:left="482" w:hanging="482"/>
              <w:jc w:val="both"/>
              <w:rPr>
                <w:rFonts w:ascii="Times New Roman" w:eastAsia="新細明體" w:hAnsi="Times New Roman" w:cs="Times New Roman"/>
                <w:sz w:val="26"/>
                <w:szCs w:val="26"/>
                <w:lang w:eastAsia="zh-HK"/>
              </w:rPr>
            </w:pP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如想了解更多</w:t>
            </w:r>
            <w:r w:rsidR="00881F3D"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券试验计划的详情或需要协助，可向</w:t>
            </w:r>
            <w:r w:rsidR="00881F3D">
              <w:rPr>
                <w:rFonts w:eastAsia="SimSun" w:hint="eastAsia"/>
                <w:sz w:val="26"/>
                <w:szCs w:val="26"/>
                <w:lang w:eastAsia="zh-CN"/>
              </w:rPr>
              <w:t>社区</w:t>
            </w:r>
            <w:r w:rsidRPr="007403DC">
              <w:rPr>
                <w:rFonts w:eastAsia="SimSun" w:hint="eastAsia"/>
                <w:sz w:val="26"/>
                <w:szCs w:val="26"/>
                <w:lang w:eastAsia="zh-CN"/>
              </w:rPr>
              <w:t>券办事处或长者的个案负责工作员查询。</w:t>
            </w:r>
          </w:p>
        </w:tc>
      </w:tr>
    </w:tbl>
    <w:p w14:paraId="614F939E" w14:textId="77777777" w:rsidR="00EC66CF" w:rsidRDefault="00EC66CF">
      <w:pPr>
        <w:rPr>
          <w:lang w:eastAsia="zh-CN"/>
        </w:rPr>
      </w:pPr>
    </w:p>
    <w:p w14:paraId="44DF0457" w14:textId="77777777" w:rsidR="001313ED" w:rsidRPr="004A056A" w:rsidRDefault="001313ED">
      <w:pPr>
        <w:rPr>
          <w:lang w:eastAsia="zh-CN"/>
        </w:rPr>
      </w:pPr>
    </w:p>
    <w:sectPr w:rsidR="001313ED" w:rsidRPr="004A056A" w:rsidSect="00E45A29">
      <w:pgSz w:w="11906" w:h="16838"/>
      <w:pgMar w:top="1418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98E11" w14:textId="77777777" w:rsidR="0004567F" w:rsidRDefault="0004567F" w:rsidP="006318CC">
      <w:r>
        <w:separator/>
      </w:r>
    </w:p>
  </w:endnote>
  <w:endnote w:type="continuationSeparator" w:id="0">
    <w:p w14:paraId="344746F6" w14:textId="77777777" w:rsidR="0004567F" w:rsidRDefault="0004567F" w:rsidP="0063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4E127" w14:textId="77777777" w:rsidR="0004567F" w:rsidRDefault="0004567F" w:rsidP="006318CC">
      <w:r>
        <w:separator/>
      </w:r>
    </w:p>
  </w:footnote>
  <w:footnote w:type="continuationSeparator" w:id="0">
    <w:p w14:paraId="69C3757A" w14:textId="77777777" w:rsidR="0004567F" w:rsidRDefault="0004567F" w:rsidP="0063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81981"/>
    <w:multiLevelType w:val="hybridMultilevel"/>
    <w:tmpl w:val="23BAEF7A"/>
    <w:lvl w:ilvl="0" w:tplc="E3969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27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D67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4E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ED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68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E2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E6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C9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C513A8"/>
    <w:multiLevelType w:val="hybridMultilevel"/>
    <w:tmpl w:val="7CECC63A"/>
    <w:lvl w:ilvl="0" w:tplc="52445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62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AB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01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186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A0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05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20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63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5F0E37"/>
    <w:multiLevelType w:val="hybridMultilevel"/>
    <w:tmpl w:val="24F08824"/>
    <w:lvl w:ilvl="0" w:tplc="4954B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DAF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A3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14C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0A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8F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A2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E1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4B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8C632B"/>
    <w:multiLevelType w:val="hybridMultilevel"/>
    <w:tmpl w:val="47BA21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A736399"/>
    <w:multiLevelType w:val="hybridMultilevel"/>
    <w:tmpl w:val="717647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166760C"/>
    <w:multiLevelType w:val="hybridMultilevel"/>
    <w:tmpl w:val="06EABEA4"/>
    <w:lvl w:ilvl="0" w:tplc="2F86A1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64CA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9EEE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0CCA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1C71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6A8F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7A7E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625A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02A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4093622"/>
    <w:multiLevelType w:val="hybridMultilevel"/>
    <w:tmpl w:val="095673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984FE7"/>
    <w:multiLevelType w:val="hybridMultilevel"/>
    <w:tmpl w:val="07E64B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DCA5F8B"/>
    <w:multiLevelType w:val="hybridMultilevel"/>
    <w:tmpl w:val="874CDBA4"/>
    <w:lvl w:ilvl="0" w:tplc="1B4E08A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5041698"/>
    <w:multiLevelType w:val="hybridMultilevel"/>
    <w:tmpl w:val="219A8498"/>
    <w:lvl w:ilvl="0" w:tplc="40CA1652">
      <w:start w:val="1"/>
      <w:numFmt w:val="decimal"/>
      <w:lvlText w:val="%1."/>
      <w:lvlJc w:val="left"/>
      <w:pPr>
        <w:ind w:left="622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6AC1B47"/>
    <w:multiLevelType w:val="hybridMultilevel"/>
    <w:tmpl w:val="431858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50E5A90"/>
    <w:multiLevelType w:val="hybridMultilevel"/>
    <w:tmpl w:val="36D4BC26"/>
    <w:lvl w:ilvl="0" w:tplc="8AA41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34635C"/>
    <w:multiLevelType w:val="hybridMultilevel"/>
    <w:tmpl w:val="DEA86B72"/>
    <w:lvl w:ilvl="0" w:tplc="5D088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12"/>
  </w:num>
  <w:num w:numId="9">
    <w:abstractNumId w:val="11"/>
  </w:num>
  <w:num w:numId="10">
    <w:abstractNumId w:val="8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A3"/>
    <w:rsid w:val="00003263"/>
    <w:rsid w:val="000057E7"/>
    <w:rsid w:val="00026336"/>
    <w:rsid w:val="00031BE7"/>
    <w:rsid w:val="00036BC0"/>
    <w:rsid w:val="0004567F"/>
    <w:rsid w:val="00047652"/>
    <w:rsid w:val="0005378B"/>
    <w:rsid w:val="00055655"/>
    <w:rsid w:val="00067724"/>
    <w:rsid w:val="00067C12"/>
    <w:rsid w:val="00071922"/>
    <w:rsid w:val="00074A7A"/>
    <w:rsid w:val="000A3DE1"/>
    <w:rsid w:val="000C1C6E"/>
    <w:rsid w:val="000C4EB3"/>
    <w:rsid w:val="000D50B3"/>
    <w:rsid w:val="000E6B3E"/>
    <w:rsid w:val="000F6237"/>
    <w:rsid w:val="000F7088"/>
    <w:rsid w:val="00100DD1"/>
    <w:rsid w:val="001031BC"/>
    <w:rsid w:val="00112BE8"/>
    <w:rsid w:val="001233DF"/>
    <w:rsid w:val="001313ED"/>
    <w:rsid w:val="001357D6"/>
    <w:rsid w:val="00154360"/>
    <w:rsid w:val="00161AAB"/>
    <w:rsid w:val="0016532C"/>
    <w:rsid w:val="001726ED"/>
    <w:rsid w:val="001878F0"/>
    <w:rsid w:val="001A17B4"/>
    <w:rsid w:val="001A5C09"/>
    <w:rsid w:val="001B5B04"/>
    <w:rsid w:val="001C64C7"/>
    <w:rsid w:val="001D1CAA"/>
    <w:rsid w:val="001D3EBA"/>
    <w:rsid w:val="001D66CF"/>
    <w:rsid w:val="001D68D6"/>
    <w:rsid w:val="001D6B2F"/>
    <w:rsid w:val="001F52AB"/>
    <w:rsid w:val="00204341"/>
    <w:rsid w:val="002122DD"/>
    <w:rsid w:val="00234EFB"/>
    <w:rsid w:val="00242CE0"/>
    <w:rsid w:val="00250872"/>
    <w:rsid w:val="00262407"/>
    <w:rsid w:val="00263A94"/>
    <w:rsid w:val="00265355"/>
    <w:rsid w:val="002725D0"/>
    <w:rsid w:val="00275943"/>
    <w:rsid w:val="00281AB6"/>
    <w:rsid w:val="002858A1"/>
    <w:rsid w:val="00286674"/>
    <w:rsid w:val="00287398"/>
    <w:rsid w:val="00294669"/>
    <w:rsid w:val="002A2C6D"/>
    <w:rsid w:val="002C07DB"/>
    <w:rsid w:val="002C5611"/>
    <w:rsid w:val="002D7630"/>
    <w:rsid w:val="00305844"/>
    <w:rsid w:val="003105B0"/>
    <w:rsid w:val="00321CCB"/>
    <w:rsid w:val="0033146B"/>
    <w:rsid w:val="00331AF7"/>
    <w:rsid w:val="00332CE0"/>
    <w:rsid w:val="0036050E"/>
    <w:rsid w:val="00375312"/>
    <w:rsid w:val="0037776C"/>
    <w:rsid w:val="003833E3"/>
    <w:rsid w:val="003876B7"/>
    <w:rsid w:val="0038774D"/>
    <w:rsid w:val="0039645E"/>
    <w:rsid w:val="003A47F1"/>
    <w:rsid w:val="003B2520"/>
    <w:rsid w:val="003C3771"/>
    <w:rsid w:val="003D1E7B"/>
    <w:rsid w:val="003D383D"/>
    <w:rsid w:val="003F64A7"/>
    <w:rsid w:val="00400873"/>
    <w:rsid w:val="00406509"/>
    <w:rsid w:val="00415901"/>
    <w:rsid w:val="004234EA"/>
    <w:rsid w:val="004372D5"/>
    <w:rsid w:val="004378B3"/>
    <w:rsid w:val="00440A3F"/>
    <w:rsid w:val="00444E11"/>
    <w:rsid w:val="004474EB"/>
    <w:rsid w:val="004503BF"/>
    <w:rsid w:val="004676F5"/>
    <w:rsid w:val="004707F8"/>
    <w:rsid w:val="00472F44"/>
    <w:rsid w:val="00473912"/>
    <w:rsid w:val="004767B0"/>
    <w:rsid w:val="00487D0E"/>
    <w:rsid w:val="004940BA"/>
    <w:rsid w:val="004A056A"/>
    <w:rsid w:val="004A5998"/>
    <w:rsid w:val="004B2238"/>
    <w:rsid w:val="004B3ABC"/>
    <w:rsid w:val="004B7AFA"/>
    <w:rsid w:val="004C6315"/>
    <w:rsid w:val="004D19B9"/>
    <w:rsid w:val="004F2E2F"/>
    <w:rsid w:val="004F4919"/>
    <w:rsid w:val="00515C1B"/>
    <w:rsid w:val="0052196A"/>
    <w:rsid w:val="00536479"/>
    <w:rsid w:val="00541308"/>
    <w:rsid w:val="00562203"/>
    <w:rsid w:val="0056536A"/>
    <w:rsid w:val="00567AB1"/>
    <w:rsid w:val="005831D1"/>
    <w:rsid w:val="005939C2"/>
    <w:rsid w:val="00593C12"/>
    <w:rsid w:val="00596442"/>
    <w:rsid w:val="005A0A03"/>
    <w:rsid w:val="005A0B1C"/>
    <w:rsid w:val="005B277D"/>
    <w:rsid w:val="005B5BC9"/>
    <w:rsid w:val="005C1A40"/>
    <w:rsid w:val="005D2FFF"/>
    <w:rsid w:val="005D3AE8"/>
    <w:rsid w:val="005E14C5"/>
    <w:rsid w:val="005E6ED0"/>
    <w:rsid w:val="00613BE9"/>
    <w:rsid w:val="006318CC"/>
    <w:rsid w:val="00636653"/>
    <w:rsid w:val="0063733E"/>
    <w:rsid w:val="00666E6E"/>
    <w:rsid w:val="00667D91"/>
    <w:rsid w:val="00673764"/>
    <w:rsid w:val="00675A00"/>
    <w:rsid w:val="00675B8C"/>
    <w:rsid w:val="00686284"/>
    <w:rsid w:val="006A19B6"/>
    <w:rsid w:val="006D1B41"/>
    <w:rsid w:val="006D5953"/>
    <w:rsid w:val="006D5C7C"/>
    <w:rsid w:val="006D6D81"/>
    <w:rsid w:val="006D7B96"/>
    <w:rsid w:val="006E6E65"/>
    <w:rsid w:val="006F6939"/>
    <w:rsid w:val="007150FC"/>
    <w:rsid w:val="00726DB8"/>
    <w:rsid w:val="007327B5"/>
    <w:rsid w:val="007403DC"/>
    <w:rsid w:val="00746249"/>
    <w:rsid w:val="00756F99"/>
    <w:rsid w:val="00760B95"/>
    <w:rsid w:val="007640FC"/>
    <w:rsid w:val="007745E6"/>
    <w:rsid w:val="00781F1F"/>
    <w:rsid w:val="007962F5"/>
    <w:rsid w:val="007B0AEE"/>
    <w:rsid w:val="007D0615"/>
    <w:rsid w:val="007D1C40"/>
    <w:rsid w:val="007E1281"/>
    <w:rsid w:val="008015C9"/>
    <w:rsid w:val="008019C7"/>
    <w:rsid w:val="00804BA0"/>
    <w:rsid w:val="008362C6"/>
    <w:rsid w:val="008405CF"/>
    <w:rsid w:val="00852621"/>
    <w:rsid w:val="00854590"/>
    <w:rsid w:val="00876996"/>
    <w:rsid w:val="00881F3D"/>
    <w:rsid w:val="008A4783"/>
    <w:rsid w:val="008B0051"/>
    <w:rsid w:val="008C12CC"/>
    <w:rsid w:val="008C76E7"/>
    <w:rsid w:val="008C7FEC"/>
    <w:rsid w:val="008D1C73"/>
    <w:rsid w:val="008D305A"/>
    <w:rsid w:val="008E7740"/>
    <w:rsid w:val="00904236"/>
    <w:rsid w:val="009132AE"/>
    <w:rsid w:val="00925527"/>
    <w:rsid w:val="00927E27"/>
    <w:rsid w:val="009779C3"/>
    <w:rsid w:val="00982FA8"/>
    <w:rsid w:val="009841A1"/>
    <w:rsid w:val="009865B1"/>
    <w:rsid w:val="009921E7"/>
    <w:rsid w:val="00992AF2"/>
    <w:rsid w:val="009B0ABB"/>
    <w:rsid w:val="009D273B"/>
    <w:rsid w:val="009D7DB0"/>
    <w:rsid w:val="009F093F"/>
    <w:rsid w:val="009F1B23"/>
    <w:rsid w:val="00A15916"/>
    <w:rsid w:val="00A17994"/>
    <w:rsid w:val="00A2151F"/>
    <w:rsid w:val="00A218CF"/>
    <w:rsid w:val="00A300CC"/>
    <w:rsid w:val="00A3717F"/>
    <w:rsid w:val="00A37833"/>
    <w:rsid w:val="00A40451"/>
    <w:rsid w:val="00A41D4E"/>
    <w:rsid w:val="00A43D96"/>
    <w:rsid w:val="00A569EE"/>
    <w:rsid w:val="00A62C66"/>
    <w:rsid w:val="00A66890"/>
    <w:rsid w:val="00A74CB9"/>
    <w:rsid w:val="00A84C81"/>
    <w:rsid w:val="00AB522D"/>
    <w:rsid w:val="00AD62FA"/>
    <w:rsid w:val="00AE073F"/>
    <w:rsid w:val="00AE12C0"/>
    <w:rsid w:val="00AE26EC"/>
    <w:rsid w:val="00AE2DA4"/>
    <w:rsid w:val="00AE3D38"/>
    <w:rsid w:val="00AE569F"/>
    <w:rsid w:val="00B21523"/>
    <w:rsid w:val="00B27FB3"/>
    <w:rsid w:val="00B632E2"/>
    <w:rsid w:val="00B7267C"/>
    <w:rsid w:val="00B80C80"/>
    <w:rsid w:val="00B95BA3"/>
    <w:rsid w:val="00BA5E74"/>
    <w:rsid w:val="00BA69E4"/>
    <w:rsid w:val="00BB56A0"/>
    <w:rsid w:val="00BB7D49"/>
    <w:rsid w:val="00BC66F0"/>
    <w:rsid w:val="00BD4A55"/>
    <w:rsid w:val="00BE06A9"/>
    <w:rsid w:val="00BE0E7F"/>
    <w:rsid w:val="00BE24A3"/>
    <w:rsid w:val="00BE7C6A"/>
    <w:rsid w:val="00BF34C5"/>
    <w:rsid w:val="00BF5798"/>
    <w:rsid w:val="00BF5B09"/>
    <w:rsid w:val="00C01BAA"/>
    <w:rsid w:val="00C048DD"/>
    <w:rsid w:val="00C22B5B"/>
    <w:rsid w:val="00C37322"/>
    <w:rsid w:val="00C44081"/>
    <w:rsid w:val="00C443D7"/>
    <w:rsid w:val="00C51EC4"/>
    <w:rsid w:val="00C541B1"/>
    <w:rsid w:val="00C54EFB"/>
    <w:rsid w:val="00C66250"/>
    <w:rsid w:val="00C704F0"/>
    <w:rsid w:val="00C85EC6"/>
    <w:rsid w:val="00C96287"/>
    <w:rsid w:val="00CC3081"/>
    <w:rsid w:val="00CC614C"/>
    <w:rsid w:val="00CE5ED7"/>
    <w:rsid w:val="00D31BD0"/>
    <w:rsid w:val="00D552DC"/>
    <w:rsid w:val="00D56CFB"/>
    <w:rsid w:val="00D6002F"/>
    <w:rsid w:val="00D61053"/>
    <w:rsid w:val="00D67B11"/>
    <w:rsid w:val="00D76BD2"/>
    <w:rsid w:val="00DA5160"/>
    <w:rsid w:val="00DB471B"/>
    <w:rsid w:val="00DB47EE"/>
    <w:rsid w:val="00DB528A"/>
    <w:rsid w:val="00DB63E0"/>
    <w:rsid w:val="00DD4AD4"/>
    <w:rsid w:val="00DF3FD7"/>
    <w:rsid w:val="00DF6302"/>
    <w:rsid w:val="00DF7F52"/>
    <w:rsid w:val="00E12612"/>
    <w:rsid w:val="00E17F30"/>
    <w:rsid w:val="00E23F3F"/>
    <w:rsid w:val="00E26657"/>
    <w:rsid w:val="00E36A77"/>
    <w:rsid w:val="00E40A73"/>
    <w:rsid w:val="00E443AE"/>
    <w:rsid w:val="00E44E73"/>
    <w:rsid w:val="00E450D1"/>
    <w:rsid w:val="00E45A29"/>
    <w:rsid w:val="00E53224"/>
    <w:rsid w:val="00E55495"/>
    <w:rsid w:val="00E61096"/>
    <w:rsid w:val="00E61461"/>
    <w:rsid w:val="00E846B7"/>
    <w:rsid w:val="00E84750"/>
    <w:rsid w:val="00E9718E"/>
    <w:rsid w:val="00EA25A0"/>
    <w:rsid w:val="00EC053F"/>
    <w:rsid w:val="00EC66CF"/>
    <w:rsid w:val="00ED1979"/>
    <w:rsid w:val="00EE59E3"/>
    <w:rsid w:val="00EF248B"/>
    <w:rsid w:val="00F11C65"/>
    <w:rsid w:val="00F169B1"/>
    <w:rsid w:val="00F23930"/>
    <w:rsid w:val="00F53E8D"/>
    <w:rsid w:val="00F72C2E"/>
    <w:rsid w:val="00F75070"/>
    <w:rsid w:val="00F86041"/>
    <w:rsid w:val="00FB4E8F"/>
    <w:rsid w:val="00FB51D2"/>
    <w:rsid w:val="00FD2352"/>
    <w:rsid w:val="00FD63F8"/>
    <w:rsid w:val="00FD6541"/>
    <w:rsid w:val="00FE7015"/>
    <w:rsid w:val="00FF611E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147BC13"/>
  <w15:chartTrackingRefBased/>
  <w15:docId w15:val="{257891F6-8861-43CB-B205-6C8419A6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4A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31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18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1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18C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D5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59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D76BD2"/>
  </w:style>
  <w:style w:type="character" w:styleId="ac">
    <w:name w:val="annotation reference"/>
    <w:basedOn w:val="a0"/>
    <w:uiPriority w:val="99"/>
    <w:semiHidden/>
    <w:unhideWhenUsed/>
    <w:rsid w:val="005653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6536A"/>
  </w:style>
  <w:style w:type="character" w:customStyle="1" w:styleId="ae">
    <w:name w:val="註解文字 字元"/>
    <w:basedOn w:val="a0"/>
    <w:link w:val="ad"/>
    <w:uiPriority w:val="99"/>
    <w:semiHidden/>
    <w:rsid w:val="0056536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6536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6536A"/>
    <w:rPr>
      <w:b/>
      <w:bCs/>
    </w:rPr>
  </w:style>
  <w:style w:type="paragraph" w:styleId="Web">
    <w:name w:val="Normal (Web)"/>
    <w:basedOn w:val="a"/>
    <w:uiPriority w:val="99"/>
    <w:unhideWhenUsed/>
    <w:rsid w:val="009042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88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04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14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252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461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52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25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99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D06F5-7E83-4A8A-B18E-9748943B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159</Words>
  <Characters>911</Characters>
  <Application>Microsoft Office Word</Application>
  <DocSecurity>0</DocSecurity>
  <Lines>7</Lines>
  <Paragraphs>2</Paragraphs>
  <ScaleCrop>false</ScaleCrop>
  <Company>Hydration - Image Deployment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Vanessa SW</dc:creator>
  <cp:keywords/>
  <dc:description/>
  <cp:lastModifiedBy>FUNG, Amanda TY</cp:lastModifiedBy>
  <cp:revision>9</cp:revision>
  <dcterms:created xsi:type="dcterms:W3CDTF">2022-10-07T00:37:00Z</dcterms:created>
  <dcterms:modified xsi:type="dcterms:W3CDTF">2022-10-24T02:41:00Z</dcterms:modified>
</cp:coreProperties>
</file>